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CED1" w14:textId="5F092BB8" w:rsidR="00F72229" w:rsidRDefault="00173CE3">
      <w:pPr>
        <w:rPr>
          <w:b/>
          <w:bCs/>
          <w:sz w:val="36"/>
          <w:szCs w:val="36"/>
        </w:rPr>
      </w:pPr>
      <w:r w:rsidRPr="00173CE3">
        <w:rPr>
          <w:b/>
          <w:bCs/>
          <w:sz w:val="36"/>
          <w:szCs w:val="36"/>
        </w:rPr>
        <w:t xml:space="preserve">Briefing on </w:t>
      </w:r>
      <w:r w:rsidR="009E123D">
        <w:rPr>
          <w:b/>
          <w:bCs/>
          <w:sz w:val="36"/>
          <w:szCs w:val="36"/>
        </w:rPr>
        <w:t>HRSA</w:t>
      </w:r>
      <w:r w:rsidRPr="00173CE3">
        <w:rPr>
          <w:b/>
          <w:bCs/>
          <w:sz w:val="36"/>
          <w:szCs w:val="36"/>
        </w:rPr>
        <w:t xml:space="preserve"> </w:t>
      </w:r>
    </w:p>
    <w:p w14:paraId="0B44AD1B" w14:textId="47164FE6" w:rsidR="00173CE3" w:rsidRPr="00173CE3" w:rsidRDefault="00173CE3" w:rsidP="00173CE3">
      <w:pPr>
        <w:rPr>
          <w:sz w:val="24"/>
          <w:szCs w:val="24"/>
        </w:rPr>
      </w:pPr>
      <w:r w:rsidRPr="00173CE3">
        <w:rPr>
          <w:sz w:val="24"/>
          <w:szCs w:val="24"/>
        </w:rPr>
        <w:t>Lewisham Council’s approach to tackling long</w:t>
      </w:r>
      <w:r w:rsidRPr="00173CE3">
        <w:rPr>
          <w:sz w:val="24"/>
          <w:szCs w:val="24"/>
        </w:rPr>
        <w:noBreakHyphen/>
        <w:t>term vacant commercial properties, including the use of new legislative powers and existing grant programmes to revitalise high streets and town centres.</w:t>
      </w:r>
    </w:p>
    <w:p w14:paraId="64B1AACA" w14:textId="77777777" w:rsidR="00173CE3" w:rsidRPr="00173CE3" w:rsidRDefault="00173CE3" w:rsidP="00173CE3">
      <w:pPr>
        <w:rPr>
          <w:b/>
          <w:bCs/>
          <w:sz w:val="24"/>
          <w:szCs w:val="24"/>
        </w:rPr>
      </w:pPr>
      <w:r w:rsidRPr="00173CE3">
        <w:rPr>
          <w:b/>
          <w:bCs/>
          <w:sz w:val="24"/>
          <w:szCs w:val="24"/>
        </w:rPr>
        <w:t>Background</w:t>
      </w:r>
    </w:p>
    <w:p w14:paraId="0EF1FA40" w14:textId="77777777" w:rsidR="00173CE3" w:rsidRPr="00173CE3" w:rsidRDefault="00173CE3" w:rsidP="00173CE3">
      <w:pPr>
        <w:rPr>
          <w:sz w:val="24"/>
          <w:szCs w:val="24"/>
        </w:rPr>
      </w:pPr>
      <w:r w:rsidRPr="00173CE3">
        <w:rPr>
          <w:sz w:val="24"/>
          <w:szCs w:val="24"/>
        </w:rPr>
        <w:t>Empty commercial units undermine the vitality of high streets, weaken local economies and reduce opportunities for local employment. Lewisham Council has been proactively addressing this issue through planning policy, grant funding and, more recently, new statutory powers introduced by central government.</w:t>
      </w:r>
    </w:p>
    <w:p w14:paraId="741A2E2E" w14:textId="77777777" w:rsidR="00173CE3" w:rsidRPr="00173CE3" w:rsidRDefault="00173CE3" w:rsidP="00173CE3">
      <w:pPr>
        <w:rPr>
          <w:sz w:val="24"/>
          <w:szCs w:val="24"/>
        </w:rPr>
      </w:pPr>
      <w:r w:rsidRPr="00173CE3">
        <w:rPr>
          <w:sz w:val="24"/>
          <w:szCs w:val="24"/>
        </w:rPr>
        <w:t>The Levelling Up and Regeneration Act 2023 introduced High Street Rental Auctions (HSRAs), giving local authorities powers to require landlords to let long</w:t>
      </w:r>
      <w:r w:rsidRPr="00173CE3">
        <w:rPr>
          <w:sz w:val="24"/>
          <w:szCs w:val="24"/>
        </w:rPr>
        <w:noBreakHyphen/>
        <w:t>term vacant commercial properties in designated areas. This complements Lewisham’s Article 4 Direction, introduced through the Local Plan in 2024, which prevents the loss of commercial premises to residential use without planning permission.</w:t>
      </w:r>
    </w:p>
    <w:p w14:paraId="2B6A9F1C" w14:textId="77777777" w:rsidR="00173CE3" w:rsidRPr="00173CE3" w:rsidRDefault="00173CE3" w:rsidP="00173CE3">
      <w:pPr>
        <w:rPr>
          <w:b/>
          <w:bCs/>
          <w:sz w:val="24"/>
          <w:szCs w:val="24"/>
        </w:rPr>
      </w:pPr>
      <w:r w:rsidRPr="00173CE3">
        <w:rPr>
          <w:b/>
          <w:bCs/>
          <w:sz w:val="24"/>
          <w:szCs w:val="24"/>
        </w:rPr>
        <w:t>High Street Rental Auctions – Current Position</w:t>
      </w:r>
    </w:p>
    <w:p w14:paraId="3466CD83" w14:textId="77777777" w:rsidR="00173CE3" w:rsidRPr="00173CE3" w:rsidRDefault="00173CE3" w:rsidP="00173CE3">
      <w:pPr>
        <w:numPr>
          <w:ilvl w:val="0"/>
          <w:numId w:val="1"/>
        </w:numPr>
        <w:rPr>
          <w:sz w:val="24"/>
          <w:szCs w:val="24"/>
        </w:rPr>
      </w:pPr>
      <w:r w:rsidRPr="00173CE3">
        <w:rPr>
          <w:sz w:val="24"/>
          <w:szCs w:val="24"/>
        </w:rPr>
        <w:t>Forest Hill pilot launched in 2025.</w:t>
      </w:r>
    </w:p>
    <w:p w14:paraId="66E6FA59" w14:textId="77777777" w:rsidR="00173CE3" w:rsidRPr="00173CE3" w:rsidRDefault="00173CE3" w:rsidP="00173CE3">
      <w:pPr>
        <w:numPr>
          <w:ilvl w:val="0"/>
          <w:numId w:val="1"/>
        </w:numPr>
        <w:rPr>
          <w:sz w:val="24"/>
          <w:szCs w:val="24"/>
        </w:rPr>
      </w:pPr>
      <w:r w:rsidRPr="00173CE3">
        <w:rPr>
          <w:sz w:val="24"/>
          <w:szCs w:val="24"/>
        </w:rPr>
        <w:t>Following public engagement, Forest Hill District Centre was formally designated as a High Street Rental Auction area on 21 January 2026.</w:t>
      </w:r>
    </w:p>
    <w:p w14:paraId="461F076A" w14:textId="77777777" w:rsidR="00173CE3" w:rsidRPr="00173CE3" w:rsidRDefault="00173CE3" w:rsidP="00173CE3">
      <w:pPr>
        <w:numPr>
          <w:ilvl w:val="0"/>
          <w:numId w:val="1"/>
        </w:numPr>
        <w:rPr>
          <w:sz w:val="24"/>
          <w:szCs w:val="24"/>
        </w:rPr>
      </w:pPr>
      <w:r w:rsidRPr="00173CE3">
        <w:rPr>
          <w:sz w:val="24"/>
          <w:szCs w:val="24"/>
        </w:rPr>
        <w:t>The Council is currently undertaking surveys to progress properties to auction, including assessment of vacancy history and local need.</w:t>
      </w:r>
    </w:p>
    <w:p w14:paraId="2F6C5A9B" w14:textId="77777777" w:rsidR="00173CE3" w:rsidRPr="00173CE3" w:rsidRDefault="00173CE3" w:rsidP="00173CE3">
      <w:pPr>
        <w:rPr>
          <w:sz w:val="24"/>
          <w:szCs w:val="24"/>
        </w:rPr>
      </w:pPr>
      <w:r w:rsidRPr="00173CE3">
        <w:rPr>
          <w:sz w:val="24"/>
          <w:szCs w:val="24"/>
        </w:rPr>
        <w:t>Proposed Expansion of Designations</w:t>
      </w:r>
    </w:p>
    <w:p w14:paraId="6ADCB1C4" w14:textId="77777777" w:rsidR="00173CE3" w:rsidRPr="00173CE3" w:rsidRDefault="00173CE3" w:rsidP="00173CE3">
      <w:pPr>
        <w:rPr>
          <w:sz w:val="24"/>
          <w:szCs w:val="24"/>
        </w:rPr>
      </w:pPr>
      <w:r w:rsidRPr="00173CE3">
        <w:rPr>
          <w:sz w:val="24"/>
          <w:szCs w:val="24"/>
        </w:rPr>
        <w:t>The Council is now proposing to designate further town centres as High Street Rental Auction areas due to persistently high vacancy rates:</w:t>
      </w:r>
    </w:p>
    <w:tbl>
      <w:tblPr>
        <w:tblW w:w="0" w:type="auto"/>
        <w:tblInd w:w="720" w:type="dxa"/>
        <w:tblLook w:val="04A0" w:firstRow="1" w:lastRow="0" w:firstColumn="1" w:lastColumn="0" w:noHBand="0" w:noVBand="1"/>
      </w:tblPr>
      <w:tblGrid>
        <w:gridCol w:w="4928"/>
        <w:gridCol w:w="3594"/>
      </w:tblGrid>
      <w:tr w:rsidR="00173CE3" w14:paraId="5EDB27D0" w14:textId="1F350BC2">
        <w:tc>
          <w:tcPr>
            <w:tcW w:w="4928" w:type="dxa"/>
          </w:tcPr>
          <w:p w14:paraId="61F3BE5F" w14:textId="77777777" w:rsidR="00173CE3" w:rsidRDefault="00173CE3">
            <w:pPr>
              <w:numPr>
                <w:ilvl w:val="0"/>
                <w:numId w:val="2"/>
              </w:numPr>
              <w:rPr>
                <w:sz w:val="24"/>
                <w:szCs w:val="24"/>
              </w:rPr>
            </w:pPr>
            <w:r w:rsidRPr="00173CE3">
              <w:rPr>
                <w:sz w:val="24"/>
                <w:szCs w:val="24"/>
              </w:rPr>
              <w:t>Blackheath</w:t>
            </w:r>
            <w:r>
              <w:rPr>
                <w:sz w:val="24"/>
                <w:szCs w:val="24"/>
              </w:rPr>
              <w:t xml:space="preserve"> </w:t>
            </w:r>
          </w:p>
        </w:tc>
        <w:tc>
          <w:tcPr>
            <w:tcW w:w="3594" w:type="dxa"/>
          </w:tcPr>
          <w:p w14:paraId="5110D30A" w14:textId="4014ADBD" w:rsidR="00173CE3" w:rsidRDefault="00173CE3">
            <w:pPr>
              <w:numPr>
                <w:ilvl w:val="0"/>
                <w:numId w:val="2"/>
              </w:numPr>
              <w:rPr>
                <w:sz w:val="24"/>
                <w:szCs w:val="24"/>
              </w:rPr>
            </w:pPr>
            <w:r w:rsidRPr="00173CE3">
              <w:rPr>
                <w:sz w:val="24"/>
                <w:szCs w:val="24"/>
              </w:rPr>
              <w:t>Downham</w:t>
            </w:r>
          </w:p>
        </w:tc>
      </w:tr>
      <w:tr w:rsidR="00173CE3" w14:paraId="65078ACF" w14:textId="0D7CFE01">
        <w:tc>
          <w:tcPr>
            <w:tcW w:w="4928" w:type="dxa"/>
          </w:tcPr>
          <w:p w14:paraId="18934695" w14:textId="77777777" w:rsidR="00173CE3" w:rsidRDefault="00173CE3">
            <w:pPr>
              <w:numPr>
                <w:ilvl w:val="0"/>
                <w:numId w:val="2"/>
              </w:numPr>
              <w:rPr>
                <w:sz w:val="24"/>
                <w:szCs w:val="24"/>
              </w:rPr>
            </w:pPr>
            <w:r w:rsidRPr="00173CE3">
              <w:rPr>
                <w:sz w:val="24"/>
                <w:szCs w:val="24"/>
              </w:rPr>
              <w:t>Catford</w:t>
            </w:r>
          </w:p>
        </w:tc>
        <w:tc>
          <w:tcPr>
            <w:tcW w:w="3594" w:type="dxa"/>
          </w:tcPr>
          <w:p w14:paraId="0F2917E6" w14:textId="745A026D" w:rsidR="00173CE3" w:rsidRDefault="00173CE3">
            <w:pPr>
              <w:numPr>
                <w:ilvl w:val="0"/>
                <w:numId w:val="2"/>
              </w:numPr>
              <w:rPr>
                <w:sz w:val="24"/>
                <w:szCs w:val="24"/>
              </w:rPr>
            </w:pPr>
            <w:r w:rsidRPr="00173CE3">
              <w:rPr>
                <w:sz w:val="24"/>
                <w:szCs w:val="24"/>
              </w:rPr>
              <w:t>New Cross</w:t>
            </w:r>
          </w:p>
        </w:tc>
      </w:tr>
      <w:tr w:rsidR="00173CE3" w14:paraId="57FF61A1" w14:textId="36869A7D">
        <w:tc>
          <w:tcPr>
            <w:tcW w:w="4928" w:type="dxa"/>
          </w:tcPr>
          <w:p w14:paraId="6D650861" w14:textId="77777777" w:rsidR="00173CE3" w:rsidRDefault="00173CE3">
            <w:pPr>
              <w:numPr>
                <w:ilvl w:val="0"/>
                <w:numId w:val="2"/>
              </w:numPr>
              <w:rPr>
                <w:sz w:val="24"/>
                <w:szCs w:val="24"/>
              </w:rPr>
            </w:pPr>
            <w:r w:rsidRPr="00173CE3">
              <w:rPr>
                <w:sz w:val="24"/>
                <w:szCs w:val="24"/>
              </w:rPr>
              <w:t>Deptford</w:t>
            </w:r>
          </w:p>
        </w:tc>
        <w:tc>
          <w:tcPr>
            <w:tcW w:w="3594" w:type="dxa"/>
          </w:tcPr>
          <w:p w14:paraId="64E16F45" w14:textId="3C1BF67A" w:rsidR="00173CE3" w:rsidRDefault="00173CE3">
            <w:pPr>
              <w:numPr>
                <w:ilvl w:val="0"/>
                <w:numId w:val="2"/>
              </w:numPr>
              <w:rPr>
                <w:sz w:val="24"/>
                <w:szCs w:val="24"/>
              </w:rPr>
            </w:pPr>
            <w:r w:rsidRPr="00173CE3">
              <w:rPr>
                <w:sz w:val="24"/>
                <w:szCs w:val="24"/>
              </w:rPr>
              <w:t>Sydenham</w:t>
            </w:r>
          </w:p>
        </w:tc>
      </w:tr>
    </w:tbl>
    <w:p w14:paraId="0F01664C" w14:textId="77777777" w:rsidR="00173CE3" w:rsidRPr="00173CE3" w:rsidRDefault="00173CE3" w:rsidP="00173CE3">
      <w:pPr>
        <w:ind w:left="720"/>
        <w:rPr>
          <w:sz w:val="24"/>
          <w:szCs w:val="24"/>
        </w:rPr>
      </w:pPr>
    </w:p>
    <w:p w14:paraId="26A03D04" w14:textId="77777777" w:rsidR="00173CE3" w:rsidRPr="00173CE3" w:rsidRDefault="00173CE3" w:rsidP="00173CE3">
      <w:pPr>
        <w:rPr>
          <w:sz w:val="24"/>
          <w:szCs w:val="24"/>
        </w:rPr>
      </w:pPr>
      <w:r w:rsidRPr="00173CE3">
        <w:rPr>
          <w:sz w:val="24"/>
          <w:szCs w:val="24"/>
        </w:rPr>
        <w:t>A public consultation is open from Wednesday 18 February to Wednesday 18 March, inviting residents, businesses and landlords to share their views via an online survey.</w:t>
      </w:r>
      <w:r w:rsidRPr="00173CE3">
        <w:rPr>
          <w:sz w:val="24"/>
          <w:szCs w:val="24"/>
        </w:rPr>
        <w:br/>
        <w:t>Further information and support are available via business@lewisham.gov.uk.</w:t>
      </w:r>
    </w:p>
    <w:p w14:paraId="6C5183B7" w14:textId="77777777" w:rsidR="00173CE3" w:rsidRPr="00173CE3" w:rsidRDefault="00173CE3" w:rsidP="00173CE3">
      <w:pPr>
        <w:rPr>
          <w:b/>
          <w:bCs/>
          <w:sz w:val="24"/>
          <w:szCs w:val="24"/>
        </w:rPr>
      </w:pPr>
      <w:r w:rsidRPr="00173CE3">
        <w:rPr>
          <w:b/>
          <w:bCs/>
          <w:sz w:val="24"/>
          <w:szCs w:val="24"/>
        </w:rPr>
        <w:t>Grant-Led Approach to Empty Properties</w:t>
      </w:r>
    </w:p>
    <w:p w14:paraId="0E36E557" w14:textId="77777777" w:rsidR="00173CE3" w:rsidRPr="00173CE3" w:rsidRDefault="00173CE3" w:rsidP="00173CE3">
      <w:pPr>
        <w:rPr>
          <w:sz w:val="24"/>
          <w:szCs w:val="24"/>
        </w:rPr>
      </w:pPr>
      <w:r w:rsidRPr="00173CE3">
        <w:rPr>
          <w:sz w:val="24"/>
          <w:szCs w:val="24"/>
        </w:rPr>
        <w:t>Ahead of receiving HSRA powers, the Council has already taken proactive steps to reduce vacancy through its Empty Property Grants programme. Over the past two years, the programme has:</w:t>
      </w:r>
    </w:p>
    <w:p w14:paraId="6B08F6C5" w14:textId="77777777" w:rsidR="00173CE3" w:rsidRPr="00173CE3" w:rsidRDefault="00173CE3" w:rsidP="00173CE3">
      <w:pPr>
        <w:numPr>
          <w:ilvl w:val="0"/>
          <w:numId w:val="3"/>
        </w:numPr>
        <w:rPr>
          <w:sz w:val="24"/>
          <w:szCs w:val="24"/>
        </w:rPr>
      </w:pPr>
      <w:r w:rsidRPr="00173CE3">
        <w:rPr>
          <w:sz w:val="24"/>
          <w:szCs w:val="24"/>
        </w:rPr>
        <w:lastRenderedPageBreak/>
        <w:t>Supported the reopening of more than 25 commercial spaces</w:t>
      </w:r>
    </w:p>
    <w:p w14:paraId="51EFDE4C" w14:textId="77777777" w:rsidR="00173CE3" w:rsidRPr="00173CE3" w:rsidRDefault="00173CE3" w:rsidP="00173CE3">
      <w:pPr>
        <w:numPr>
          <w:ilvl w:val="0"/>
          <w:numId w:val="3"/>
        </w:numPr>
        <w:rPr>
          <w:sz w:val="24"/>
          <w:szCs w:val="24"/>
        </w:rPr>
      </w:pPr>
      <w:r w:rsidRPr="00173CE3">
        <w:rPr>
          <w:sz w:val="24"/>
          <w:szCs w:val="24"/>
        </w:rPr>
        <w:t>Created 15 new jobs</w:t>
      </w:r>
    </w:p>
    <w:p w14:paraId="7A2FF7D3" w14:textId="77777777" w:rsidR="00173CE3" w:rsidRPr="00173CE3" w:rsidRDefault="00173CE3" w:rsidP="00173CE3">
      <w:pPr>
        <w:numPr>
          <w:ilvl w:val="0"/>
          <w:numId w:val="3"/>
        </w:numPr>
        <w:rPr>
          <w:sz w:val="24"/>
          <w:szCs w:val="24"/>
        </w:rPr>
      </w:pPr>
      <w:r w:rsidRPr="00173CE3">
        <w:rPr>
          <w:sz w:val="24"/>
          <w:szCs w:val="24"/>
        </w:rPr>
        <w:t>Safeguarded a further 10 jobs</w:t>
      </w:r>
    </w:p>
    <w:p w14:paraId="1D436146" w14:textId="77777777" w:rsidR="00173CE3" w:rsidRPr="00173CE3" w:rsidRDefault="00173CE3" w:rsidP="00173CE3">
      <w:pPr>
        <w:rPr>
          <w:sz w:val="24"/>
          <w:szCs w:val="24"/>
        </w:rPr>
      </w:pPr>
      <w:r w:rsidRPr="00173CE3">
        <w:rPr>
          <w:sz w:val="24"/>
          <w:szCs w:val="24"/>
        </w:rPr>
        <w:t>The programme focuses on enabling independent and small businesses to transform vacant units into productive workspace and is funded through the UK Shared Prosperity Fund.</w:t>
      </w:r>
    </w:p>
    <w:p w14:paraId="3CF78B94" w14:textId="77777777" w:rsidR="00173CE3" w:rsidRPr="00173CE3" w:rsidRDefault="00173CE3" w:rsidP="00173CE3">
      <w:pPr>
        <w:rPr>
          <w:sz w:val="24"/>
          <w:szCs w:val="24"/>
        </w:rPr>
      </w:pPr>
      <w:r w:rsidRPr="00173CE3">
        <w:rPr>
          <w:sz w:val="24"/>
          <w:szCs w:val="24"/>
        </w:rPr>
        <w:t>Impact and Benefits</w:t>
      </w:r>
    </w:p>
    <w:p w14:paraId="7FB27BBD" w14:textId="77777777" w:rsidR="00173CE3" w:rsidRPr="00173CE3" w:rsidRDefault="00173CE3" w:rsidP="00173CE3">
      <w:pPr>
        <w:numPr>
          <w:ilvl w:val="0"/>
          <w:numId w:val="4"/>
        </w:numPr>
        <w:rPr>
          <w:sz w:val="24"/>
          <w:szCs w:val="24"/>
        </w:rPr>
      </w:pPr>
      <w:r w:rsidRPr="00173CE3">
        <w:rPr>
          <w:sz w:val="24"/>
          <w:szCs w:val="24"/>
        </w:rPr>
        <w:t>Revitalisation of high streets and town centres</w:t>
      </w:r>
    </w:p>
    <w:p w14:paraId="7D41ECBB" w14:textId="77777777" w:rsidR="00173CE3" w:rsidRPr="00173CE3" w:rsidRDefault="00173CE3" w:rsidP="00173CE3">
      <w:pPr>
        <w:numPr>
          <w:ilvl w:val="0"/>
          <w:numId w:val="4"/>
        </w:numPr>
        <w:rPr>
          <w:sz w:val="24"/>
          <w:szCs w:val="24"/>
        </w:rPr>
      </w:pPr>
      <w:r w:rsidRPr="00173CE3">
        <w:rPr>
          <w:sz w:val="24"/>
          <w:szCs w:val="24"/>
        </w:rPr>
        <w:t>Increased local employment and workspace provision</w:t>
      </w:r>
    </w:p>
    <w:p w14:paraId="6523B180" w14:textId="77777777" w:rsidR="00173CE3" w:rsidRPr="00173CE3" w:rsidRDefault="00173CE3" w:rsidP="00173CE3">
      <w:pPr>
        <w:numPr>
          <w:ilvl w:val="0"/>
          <w:numId w:val="4"/>
        </w:numPr>
        <w:rPr>
          <w:sz w:val="24"/>
          <w:szCs w:val="24"/>
        </w:rPr>
      </w:pPr>
      <w:r w:rsidRPr="00173CE3">
        <w:rPr>
          <w:sz w:val="24"/>
          <w:szCs w:val="24"/>
        </w:rPr>
        <w:t>Stronger support for independent and creative businesses</w:t>
      </w:r>
    </w:p>
    <w:p w14:paraId="255D672D" w14:textId="77777777" w:rsidR="00173CE3" w:rsidRPr="00173CE3" w:rsidRDefault="00173CE3" w:rsidP="00173CE3">
      <w:pPr>
        <w:numPr>
          <w:ilvl w:val="0"/>
          <w:numId w:val="4"/>
        </w:numPr>
        <w:rPr>
          <w:sz w:val="24"/>
          <w:szCs w:val="24"/>
        </w:rPr>
      </w:pPr>
      <w:r w:rsidRPr="00173CE3">
        <w:rPr>
          <w:sz w:val="24"/>
          <w:szCs w:val="24"/>
        </w:rPr>
        <w:t>Reduced long</w:t>
      </w:r>
      <w:r w:rsidRPr="00173CE3">
        <w:rPr>
          <w:sz w:val="24"/>
          <w:szCs w:val="24"/>
        </w:rPr>
        <w:noBreakHyphen/>
        <w:t>term vacancy and blight</w:t>
      </w:r>
    </w:p>
    <w:p w14:paraId="0B4BDD80" w14:textId="77777777" w:rsidR="00173CE3" w:rsidRPr="00173CE3" w:rsidRDefault="00173CE3" w:rsidP="00173CE3">
      <w:pPr>
        <w:rPr>
          <w:sz w:val="24"/>
          <w:szCs w:val="24"/>
        </w:rPr>
      </w:pPr>
      <w:r w:rsidRPr="00173CE3">
        <w:rPr>
          <w:sz w:val="24"/>
          <w:szCs w:val="24"/>
        </w:rPr>
        <w:t xml:space="preserve">Successful projects supported through this approach include Blue Garage, Mauby, </w:t>
      </w:r>
      <w:proofErr w:type="spellStart"/>
      <w:r w:rsidRPr="00173CE3">
        <w:rPr>
          <w:sz w:val="24"/>
          <w:szCs w:val="24"/>
        </w:rPr>
        <w:t>Springbank</w:t>
      </w:r>
      <w:proofErr w:type="spellEnd"/>
      <w:r w:rsidRPr="00173CE3">
        <w:rPr>
          <w:sz w:val="24"/>
          <w:szCs w:val="24"/>
        </w:rPr>
        <w:t xml:space="preserve"> Studio and V22, which demonstrate the potential of repurposing vacant spaces into thriving local enterprises.</w:t>
      </w:r>
    </w:p>
    <w:p w14:paraId="6151CB38" w14:textId="3E0411BB" w:rsidR="00173CE3" w:rsidRPr="00173CE3" w:rsidRDefault="00173CE3" w:rsidP="00173CE3">
      <w:pPr>
        <w:rPr>
          <w:sz w:val="24"/>
          <w:szCs w:val="24"/>
        </w:rPr>
      </w:pPr>
    </w:p>
    <w:sectPr w:rsidR="00173CE3" w:rsidRPr="00173C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3DDD" w14:textId="77777777" w:rsidR="00BA3843" w:rsidRDefault="00BA3843" w:rsidP="004009FA">
      <w:pPr>
        <w:spacing w:after="0" w:line="240" w:lineRule="auto"/>
      </w:pPr>
      <w:r>
        <w:separator/>
      </w:r>
    </w:p>
  </w:endnote>
  <w:endnote w:type="continuationSeparator" w:id="0">
    <w:p w14:paraId="233AD334" w14:textId="77777777" w:rsidR="00BA3843" w:rsidRDefault="00BA3843" w:rsidP="004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5CA4" w14:textId="77777777" w:rsidR="00BA3843" w:rsidRDefault="00BA3843" w:rsidP="004009FA">
      <w:pPr>
        <w:spacing w:after="0" w:line="240" w:lineRule="auto"/>
      </w:pPr>
      <w:r>
        <w:separator/>
      </w:r>
    </w:p>
  </w:footnote>
  <w:footnote w:type="continuationSeparator" w:id="0">
    <w:p w14:paraId="0DAB66F4" w14:textId="77777777" w:rsidR="00BA3843" w:rsidRDefault="00BA3843" w:rsidP="0040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0175" w14:textId="77777777" w:rsidR="004009FA" w:rsidRDefault="004009FA" w:rsidP="004009FA">
    <w:pPr>
      <w:pStyle w:val="Header"/>
      <w:jc w:val="right"/>
    </w:pPr>
    <w:r>
      <w:rPr>
        <w:noProof/>
      </w:rPr>
      <w:pict w14:anchorId="47198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Lewisham png images | PNGEgg" style="position:absolute;left:0;text-align:left;margin-left:433.95pt;margin-top:-24.05pt;width:151.45pt;height:150.9pt;z-index:1;visibility:visible;mso-position-horizontal-relative:page">
          <v:imagedata r:id="rId1" o:title="Lewisham png images | PNGEgg" croptop="10949f" cropbottom="11419f" cropleft="11108f" cropright="11102f"/>
          <w10:wrap type="square" anchorx="page"/>
        </v:shape>
      </w:pict>
    </w:r>
  </w:p>
  <w:p w14:paraId="0F87A98B" w14:textId="77777777" w:rsidR="004009FA" w:rsidRDefault="004009FA" w:rsidP="004009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E04"/>
    <w:multiLevelType w:val="multilevel"/>
    <w:tmpl w:val="65F8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17C6C"/>
    <w:multiLevelType w:val="multilevel"/>
    <w:tmpl w:val="07D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3028C"/>
    <w:multiLevelType w:val="multilevel"/>
    <w:tmpl w:val="E74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03660"/>
    <w:multiLevelType w:val="multilevel"/>
    <w:tmpl w:val="5C70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C4F41"/>
    <w:multiLevelType w:val="multilevel"/>
    <w:tmpl w:val="64AE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67FF6"/>
    <w:multiLevelType w:val="multilevel"/>
    <w:tmpl w:val="CA8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058B2"/>
    <w:multiLevelType w:val="multilevel"/>
    <w:tmpl w:val="E21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947481">
    <w:abstractNumId w:val="3"/>
  </w:num>
  <w:num w:numId="2" w16cid:durableId="632293562">
    <w:abstractNumId w:val="5"/>
  </w:num>
  <w:num w:numId="3" w16cid:durableId="126507274">
    <w:abstractNumId w:val="6"/>
  </w:num>
  <w:num w:numId="4" w16cid:durableId="988051937">
    <w:abstractNumId w:val="0"/>
  </w:num>
  <w:num w:numId="5" w16cid:durableId="1086464979">
    <w:abstractNumId w:val="4"/>
  </w:num>
  <w:num w:numId="6" w16cid:durableId="1806436136">
    <w:abstractNumId w:val="1"/>
  </w:num>
  <w:num w:numId="7" w16cid:durableId="5146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9FA"/>
    <w:rsid w:val="0013455F"/>
    <w:rsid w:val="00173CE3"/>
    <w:rsid w:val="00214384"/>
    <w:rsid w:val="004009FA"/>
    <w:rsid w:val="0083103C"/>
    <w:rsid w:val="009E123D"/>
    <w:rsid w:val="00BA3843"/>
    <w:rsid w:val="00F72229"/>
    <w:rsid w:val="00FD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ABB4"/>
  <w15:chartTrackingRefBased/>
  <w15:docId w15:val="{E06ED5E7-7855-48C7-ABD4-F62A80A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4009FA"/>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4009FA"/>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4009FA"/>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4009FA"/>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4009FA"/>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4009F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009F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009F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009FA"/>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9FA"/>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4009FA"/>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4009FA"/>
    <w:rPr>
      <w:rFonts w:eastAsia="Times New Roman" w:cs="Times New Roman"/>
      <w:color w:val="0F4761"/>
      <w:sz w:val="28"/>
      <w:szCs w:val="28"/>
    </w:rPr>
  </w:style>
  <w:style w:type="character" w:customStyle="1" w:styleId="Heading4Char">
    <w:name w:val="Heading 4 Char"/>
    <w:link w:val="Heading4"/>
    <w:uiPriority w:val="9"/>
    <w:semiHidden/>
    <w:rsid w:val="004009FA"/>
    <w:rPr>
      <w:rFonts w:eastAsia="Times New Roman" w:cs="Times New Roman"/>
      <w:i/>
      <w:iCs/>
      <w:color w:val="0F4761"/>
    </w:rPr>
  </w:style>
  <w:style w:type="character" w:customStyle="1" w:styleId="Heading5Char">
    <w:name w:val="Heading 5 Char"/>
    <w:link w:val="Heading5"/>
    <w:uiPriority w:val="9"/>
    <w:semiHidden/>
    <w:rsid w:val="004009FA"/>
    <w:rPr>
      <w:rFonts w:eastAsia="Times New Roman" w:cs="Times New Roman"/>
      <w:color w:val="0F4761"/>
    </w:rPr>
  </w:style>
  <w:style w:type="character" w:customStyle="1" w:styleId="Heading6Char">
    <w:name w:val="Heading 6 Char"/>
    <w:link w:val="Heading6"/>
    <w:uiPriority w:val="9"/>
    <w:semiHidden/>
    <w:rsid w:val="004009FA"/>
    <w:rPr>
      <w:rFonts w:eastAsia="Times New Roman" w:cs="Times New Roman"/>
      <w:i/>
      <w:iCs/>
      <w:color w:val="595959"/>
    </w:rPr>
  </w:style>
  <w:style w:type="character" w:customStyle="1" w:styleId="Heading7Char">
    <w:name w:val="Heading 7 Char"/>
    <w:link w:val="Heading7"/>
    <w:uiPriority w:val="9"/>
    <w:semiHidden/>
    <w:rsid w:val="004009FA"/>
    <w:rPr>
      <w:rFonts w:eastAsia="Times New Roman" w:cs="Times New Roman"/>
      <w:color w:val="595959"/>
    </w:rPr>
  </w:style>
  <w:style w:type="character" w:customStyle="1" w:styleId="Heading8Char">
    <w:name w:val="Heading 8 Char"/>
    <w:link w:val="Heading8"/>
    <w:uiPriority w:val="9"/>
    <w:semiHidden/>
    <w:rsid w:val="004009FA"/>
    <w:rPr>
      <w:rFonts w:eastAsia="Times New Roman" w:cs="Times New Roman"/>
      <w:i/>
      <w:iCs/>
      <w:color w:val="272727"/>
    </w:rPr>
  </w:style>
  <w:style w:type="character" w:customStyle="1" w:styleId="Heading9Char">
    <w:name w:val="Heading 9 Char"/>
    <w:link w:val="Heading9"/>
    <w:uiPriority w:val="9"/>
    <w:semiHidden/>
    <w:rsid w:val="004009FA"/>
    <w:rPr>
      <w:rFonts w:eastAsia="Times New Roman" w:cs="Times New Roman"/>
      <w:color w:val="272727"/>
    </w:rPr>
  </w:style>
  <w:style w:type="paragraph" w:styleId="Title">
    <w:name w:val="Title"/>
    <w:basedOn w:val="Normal"/>
    <w:next w:val="Normal"/>
    <w:link w:val="TitleChar"/>
    <w:uiPriority w:val="10"/>
    <w:qFormat/>
    <w:rsid w:val="004009FA"/>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4009FA"/>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4009FA"/>
    <w:pPr>
      <w:numPr>
        <w:ilvl w:val="1"/>
      </w:numPr>
    </w:pPr>
    <w:rPr>
      <w:rFonts w:eastAsia="Times New Roman"/>
      <w:color w:val="595959"/>
      <w:spacing w:val="15"/>
      <w:sz w:val="28"/>
      <w:szCs w:val="28"/>
    </w:rPr>
  </w:style>
  <w:style w:type="character" w:customStyle="1" w:styleId="SubtitleChar">
    <w:name w:val="Subtitle Char"/>
    <w:link w:val="Subtitle"/>
    <w:uiPriority w:val="11"/>
    <w:rsid w:val="004009FA"/>
    <w:rPr>
      <w:rFonts w:eastAsia="Times New Roman" w:cs="Times New Roman"/>
      <w:color w:val="595959"/>
      <w:spacing w:val="15"/>
      <w:sz w:val="28"/>
      <w:szCs w:val="28"/>
    </w:rPr>
  </w:style>
  <w:style w:type="paragraph" w:styleId="Quote">
    <w:name w:val="Quote"/>
    <w:basedOn w:val="Normal"/>
    <w:next w:val="Normal"/>
    <w:link w:val="QuoteChar"/>
    <w:uiPriority w:val="29"/>
    <w:qFormat/>
    <w:rsid w:val="004009FA"/>
    <w:pPr>
      <w:spacing w:before="160"/>
      <w:jc w:val="center"/>
    </w:pPr>
    <w:rPr>
      <w:i/>
      <w:iCs/>
      <w:color w:val="404040"/>
    </w:rPr>
  </w:style>
  <w:style w:type="character" w:customStyle="1" w:styleId="QuoteChar">
    <w:name w:val="Quote Char"/>
    <w:link w:val="Quote"/>
    <w:uiPriority w:val="29"/>
    <w:rsid w:val="004009FA"/>
    <w:rPr>
      <w:i/>
      <w:iCs/>
      <w:color w:val="404040"/>
    </w:rPr>
  </w:style>
  <w:style w:type="paragraph" w:styleId="ListParagraph">
    <w:name w:val="List Paragraph"/>
    <w:basedOn w:val="Normal"/>
    <w:uiPriority w:val="34"/>
    <w:qFormat/>
    <w:rsid w:val="004009FA"/>
    <w:pPr>
      <w:ind w:left="720"/>
      <w:contextualSpacing/>
    </w:pPr>
  </w:style>
  <w:style w:type="character" w:styleId="IntenseEmphasis">
    <w:name w:val="Intense Emphasis"/>
    <w:uiPriority w:val="21"/>
    <w:qFormat/>
    <w:rsid w:val="004009FA"/>
    <w:rPr>
      <w:i/>
      <w:iCs/>
      <w:color w:val="0F4761"/>
    </w:rPr>
  </w:style>
  <w:style w:type="paragraph" w:styleId="IntenseQuote">
    <w:name w:val="Intense Quote"/>
    <w:basedOn w:val="Normal"/>
    <w:next w:val="Normal"/>
    <w:link w:val="IntenseQuoteChar"/>
    <w:uiPriority w:val="30"/>
    <w:qFormat/>
    <w:rsid w:val="004009F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009FA"/>
    <w:rPr>
      <w:i/>
      <w:iCs/>
      <w:color w:val="0F4761"/>
    </w:rPr>
  </w:style>
  <w:style w:type="character" w:styleId="IntenseReference">
    <w:name w:val="Intense Reference"/>
    <w:uiPriority w:val="32"/>
    <w:qFormat/>
    <w:rsid w:val="004009FA"/>
    <w:rPr>
      <w:b/>
      <w:bCs/>
      <w:smallCaps/>
      <w:color w:val="0F4761"/>
      <w:spacing w:val="5"/>
    </w:rPr>
  </w:style>
  <w:style w:type="paragraph" w:styleId="Header">
    <w:name w:val="header"/>
    <w:basedOn w:val="Normal"/>
    <w:link w:val="HeaderChar"/>
    <w:uiPriority w:val="99"/>
    <w:unhideWhenUsed/>
    <w:rsid w:val="00400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9FA"/>
  </w:style>
  <w:style w:type="paragraph" w:styleId="Footer">
    <w:name w:val="footer"/>
    <w:basedOn w:val="Normal"/>
    <w:link w:val="FooterChar"/>
    <w:uiPriority w:val="99"/>
    <w:unhideWhenUsed/>
    <w:rsid w:val="00400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9FA"/>
  </w:style>
  <w:style w:type="table" w:styleId="TableGrid">
    <w:name w:val="Table Grid"/>
    <w:basedOn w:val="TableNormal"/>
    <w:uiPriority w:val="39"/>
    <w:rsid w:val="0017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415</Words>
  <Characters>2272</Characters>
  <Application>Microsoft Office Word</Application>
  <DocSecurity>0</DocSecurity>
  <Lines>133</Lines>
  <Paragraphs>86</Paragraphs>
  <ScaleCrop>false</ScaleCrop>
  <HeadingPairs>
    <vt:vector size="2" baseType="variant">
      <vt:variant>
        <vt:lpstr>Title</vt:lpstr>
      </vt:variant>
      <vt:variant>
        <vt:i4>1</vt:i4>
      </vt:variant>
    </vt:vector>
  </HeadingPairs>
  <TitlesOfParts>
    <vt:vector size="1" baseType="lpstr">
      <vt:lpstr/>
    </vt:vector>
  </TitlesOfParts>
  <Company>London Borough of Lewisham</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Mpofu, Natasha</dc:creator>
  <cp:keywords/>
  <dc:description/>
  <cp:lastModifiedBy>Mpofu, Natasha</cp:lastModifiedBy>
  <cp:revision>3</cp:revision>
  <dcterms:created xsi:type="dcterms:W3CDTF">2026-03-02T12:58:00Z</dcterms:created>
  <dcterms:modified xsi:type="dcterms:W3CDTF">2026-03-02T12:59:00Z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a0fef935-7245-4146-a49a-cab494999e14</vt:lpwstr>
  </property>
</Properties>
</file>